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W w:w="6996" w:type="dxa"/>
        <w:jc w:val="end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1949"/>
        <w:gridCol w:w="5046"/>
      </w:tblGrid>
      <w:tr>
        <w:trPr>
          <w:cantSplit w:val="true"/>
        </w:trPr>
        <w:tc>
          <w:tcPr>
            <w:tcW w:w="1949" w:type="dxa"/>
            <w:tcBorders/>
            <w:vAlign w:val="center"/>
          </w:tcPr>
          <w:p>
            <w:pPr>
              <w:pStyle w:val="Normal"/>
              <w:snapToGrid w:val="false"/>
              <w:jc w:val="start"/>
              <w:rPr>
                <w:rFonts w:cs="Arial"/>
                <w:sz w:val="4"/>
                <w:lang w:val="en-US"/>
              </w:rPr>
            </w:pPr>
            <w:r>
              <w:rPr>
                <w:rFonts w:cs="Arial"/>
                <w:sz w:val="4"/>
                <w:lang w:val="en-US"/>
              </w:rPr>
            </w:r>
          </w:p>
          <w:p>
            <w:pPr>
              <w:pStyle w:val="Normal"/>
              <w:jc w:val="start"/>
              <w:rPr/>
            </w:pPr>
            <w:r>
              <w:rPr/>
              <w:drawing>
                <wp:inline distT="0" distB="0" distL="0" distR="0">
                  <wp:extent cx="1104265" cy="844550"/>
                  <wp:effectExtent l="0" t="0" r="0" b="0"/>
                  <wp:docPr id="1" name="Εικόνα1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Εικόνα1" descr="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-50" t="-68" r="-50" b="-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  <w:tcBorders/>
            <w:vAlign w:val="center"/>
          </w:tcPr>
          <w:p>
            <w:pPr>
              <w:pStyle w:val="Normal"/>
              <w:snapToGrid w:val="false"/>
              <w:jc w:val="start"/>
              <w:rPr>
                <w:rFonts w:cs="Arial"/>
                <w:b/>
                <w:spacing w:val="20"/>
                <w:sz w:val="10"/>
              </w:rPr>
            </w:pPr>
            <w:r>
              <w:rPr>
                <w:rFonts w:cs="Arial"/>
                <w:b/>
                <w:spacing w:val="20"/>
                <w:sz w:val="10"/>
              </w:rPr>
            </w:r>
          </w:p>
          <w:p>
            <w:pPr>
              <w:pStyle w:val="Heading3"/>
              <w:numPr>
                <w:ilvl w:val="2"/>
                <w:numId w:val="2"/>
              </w:numPr>
              <w:ind w:hanging="0" w:start="0" w:end="0"/>
              <w:jc w:val="start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position w:val="4"/>
                <w:sz w:val="36"/>
                <w:szCs w:val="36"/>
              </w:rPr>
              <w:t>Κοινοβουλευτική Ομάδα</w:t>
            </w:r>
          </w:p>
          <w:p>
            <w:pPr>
              <w:pStyle w:val="Normal"/>
              <w:jc w:val="star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Λεωφ. Ηρακλείου 145, 14231 ΝΕΑ ΙΩΝΙΑ, </w:t>
            </w:r>
          </w:p>
          <w:p>
            <w:pPr>
              <w:pStyle w:val="Normal"/>
              <w:spacing w:lineRule="atLeast" w:line="120"/>
              <w:jc w:val="start"/>
              <w:rPr/>
            </w:pPr>
            <w:r>
              <w:rPr>
                <w:rFonts w:cs="Arial"/>
                <w:sz w:val="16"/>
                <w:szCs w:val="16"/>
              </w:rPr>
              <w:t>τηλ</w:t>
            </w:r>
            <w:r>
              <w:rPr>
                <w:rFonts w:cs="Arial"/>
                <w:sz w:val="16"/>
                <w:szCs w:val="16"/>
                <w:lang w:val="en-US"/>
              </w:rPr>
              <w:t xml:space="preserve">.: 2102592213, 2102592105, 2102592258, </w:t>
            </w:r>
            <w:r>
              <w:rPr>
                <w:rFonts w:cs="Arial"/>
                <w:sz w:val="16"/>
                <w:szCs w:val="16"/>
                <w:lang w:val="en-GB"/>
              </w:rPr>
              <w:t>fax</w:t>
            </w:r>
            <w:r>
              <w:rPr>
                <w:rFonts w:cs="Arial"/>
                <w:sz w:val="16"/>
                <w:szCs w:val="16"/>
                <w:lang w:val="en-US"/>
              </w:rPr>
              <w:t>: 2102592097</w:t>
            </w:r>
          </w:p>
          <w:p>
            <w:pPr>
              <w:pStyle w:val="Normal"/>
              <w:spacing w:lineRule="atLeast" w:line="120"/>
              <w:jc w:val="start"/>
              <w:rPr/>
            </w:pPr>
            <w:r>
              <w:rPr>
                <w:rFonts w:cs="Arial"/>
                <w:spacing w:val="15"/>
                <w:sz w:val="16"/>
                <w:szCs w:val="16"/>
                <w:lang w:val="de-DE"/>
              </w:rPr>
              <w:t>e-mail</w:t>
            </w:r>
            <w:r>
              <w:rPr>
                <w:rFonts w:cs="Arial"/>
                <w:spacing w:val="15"/>
                <w:sz w:val="16"/>
                <w:szCs w:val="16"/>
                <w:lang w:val="it-IT"/>
              </w:rPr>
              <w:t xml:space="preserve">: </w:t>
            </w:r>
            <w:r>
              <w:rPr>
                <w:rFonts w:cs="Arial"/>
                <w:spacing w:val="15"/>
                <w:sz w:val="16"/>
                <w:szCs w:val="16"/>
                <w:lang w:val="de-DE"/>
              </w:rPr>
              <w:t>ko</w:t>
            </w:r>
            <w:r>
              <w:rPr>
                <w:rFonts w:cs="Arial"/>
                <w:spacing w:val="15"/>
                <w:sz w:val="16"/>
                <w:szCs w:val="16"/>
                <w:lang w:val="it-IT"/>
              </w:rPr>
              <w:t>@</w:t>
            </w:r>
            <w:r>
              <w:rPr>
                <w:rFonts w:cs="Arial"/>
                <w:spacing w:val="15"/>
                <w:sz w:val="16"/>
                <w:szCs w:val="16"/>
                <w:lang w:val="de-DE"/>
              </w:rPr>
              <w:t>vouli</w:t>
            </w:r>
            <w:r>
              <w:rPr>
                <w:rFonts w:cs="Arial"/>
                <w:spacing w:val="15"/>
                <w:sz w:val="16"/>
                <w:szCs w:val="16"/>
                <w:lang w:val="it-IT"/>
              </w:rPr>
              <w:t>.k</w:t>
            </w:r>
            <w:r>
              <w:rPr>
                <w:rFonts w:cs="Arial"/>
                <w:spacing w:val="15"/>
                <w:sz w:val="16"/>
                <w:szCs w:val="16"/>
                <w:lang w:val="de-DE"/>
              </w:rPr>
              <w:t>ke</w:t>
            </w:r>
            <w:r>
              <w:rPr>
                <w:rFonts w:cs="Arial"/>
                <w:spacing w:val="15"/>
                <w:sz w:val="16"/>
                <w:szCs w:val="16"/>
                <w:lang w:val="it-IT"/>
              </w:rPr>
              <w:t>.</w:t>
            </w:r>
            <w:r>
              <w:rPr>
                <w:rFonts w:cs="Arial"/>
                <w:spacing w:val="15"/>
                <w:sz w:val="16"/>
                <w:szCs w:val="16"/>
                <w:lang w:val="de-DE"/>
              </w:rPr>
              <w:t>gr</w:t>
            </w:r>
            <w:r>
              <w:rPr>
                <w:rFonts w:cs="Arial"/>
                <w:spacing w:val="15"/>
                <w:sz w:val="16"/>
                <w:szCs w:val="16"/>
                <w:lang w:val="it-IT"/>
              </w:rPr>
              <w:t xml:space="preserve">, </w:t>
            </w:r>
            <w:r>
              <w:rPr>
                <w:rFonts w:cs="Arial"/>
                <w:spacing w:val="15"/>
                <w:sz w:val="16"/>
                <w:szCs w:val="16"/>
                <w:lang w:val="de-DE"/>
              </w:rPr>
              <w:t>http</w:t>
            </w:r>
            <w:r>
              <w:rPr>
                <w:rFonts w:cs="Arial"/>
                <w:spacing w:val="15"/>
                <w:sz w:val="16"/>
                <w:szCs w:val="16"/>
                <w:lang w:val="it-IT"/>
              </w:rPr>
              <w:t>://</w:t>
            </w:r>
            <w:r>
              <w:rPr>
                <w:rFonts w:cs="Arial"/>
                <w:spacing w:val="15"/>
                <w:sz w:val="16"/>
                <w:szCs w:val="16"/>
                <w:lang w:val="de-DE"/>
              </w:rPr>
              <w:t>www</w:t>
            </w:r>
            <w:r>
              <w:rPr>
                <w:rFonts w:cs="Arial"/>
                <w:spacing w:val="15"/>
                <w:sz w:val="16"/>
                <w:szCs w:val="16"/>
                <w:lang w:val="it-IT"/>
              </w:rPr>
              <w:t>.</w:t>
            </w:r>
            <w:r>
              <w:rPr>
                <w:rFonts w:cs="Arial"/>
                <w:spacing w:val="15"/>
                <w:sz w:val="16"/>
                <w:szCs w:val="16"/>
                <w:lang w:val="de-DE"/>
              </w:rPr>
              <w:t>kke</w:t>
            </w:r>
            <w:r>
              <w:rPr>
                <w:rFonts w:cs="Arial"/>
                <w:spacing w:val="15"/>
                <w:sz w:val="16"/>
                <w:szCs w:val="16"/>
                <w:lang w:val="it-IT"/>
              </w:rPr>
              <w:t>.</w:t>
            </w:r>
            <w:r>
              <w:rPr>
                <w:rFonts w:cs="Arial"/>
                <w:spacing w:val="15"/>
                <w:sz w:val="16"/>
                <w:szCs w:val="16"/>
                <w:lang w:val="de-DE"/>
              </w:rPr>
              <w:t>gr</w:t>
            </w:r>
          </w:p>
          <w:p>
            <w:pPr>
              <w:pStyle w:val="Normal"/>
              <w:jc w:val="star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Γραφεία Βουλής: 2103708168, 2103708169, fax: 2103707410</w:t>
            </w:r>
          </w:p>
        </w:tc>
      </w:tr>
      <w:tr>
        <w:trPr>
          <w:trHeight w:val="28" w:hRule="exact"/>
          <w:cantSplit w:val="true"/>
        </w:trPr>
        <w:tc>
          <w:tcPr>
            <w:tcW w:w="1949" w:type="dxa"/>
            <w:tcBorders/>
          </w:tcPr>
          <w:p>
            <w:pPr>
              <w:pStyle w:val="Normal"/>
              <w:snapToGrid w:val="false"/>
              <w:jc w:val="start"/>
              <w:rPr>
                <w:rFonts w:cs="Arial"/>
                <w:sz w:val="4"/>
                <w:lang w:val="en-US"/>
              </w:rPr>
            </w:pPr>
            <w:r>
              <w:rPr>
                <w:rFonts w:cs="Arial"/>
                <w:sz w:val="4"/>
                <w:lang w:val="en-US"/>
              </w:rPr>
            </w:r>
          </w:p>
        </w:tc>
        <w:tc>
          <w:tcPr>
            <w:tcW w:w="5046" w:type="dxa"/>
            <w:tcBorders/>
            <w:vAlign w:val="center"/>
          </w:tcPr>
          <w:p>
            <w:pPr>
              <w:pStyle w:val="Normal"/>
              <w:snapToGrid w:val="false"/>
              <w:jc w:val="start"/>
              <w:rPr>
                <w:rFonts w:cs="Arial"/>
                <w:b/>
                <w:spacing w:val="20"/>
                <w:sz w:val="10"/>
              </w:rPr>
            </w:pPr>
            <w:r>
              <w:rPr>
                <w:rFonts w:cs="Arial"/>
                <w:b/>
                <w:spacing w:val="20"/>
                <w:sz w:val="10"/>
              </w:rPr>
            </w:r>
          </w:p>
        </w:tc>
      </w:tr>
    </w:tbl>
    <w:p>
      <w:pPr>
        <w:pStyle w:val="Normal"/>
        <w:spacing w:lineRule="auto" w:line="600"/>
        <w:jc w:val="center"/>
        <w:rPr>
          <w:rFonts w:cs="Arial"/>
        </w:rPr>
      </w:pPr>
      <w:r>
        <w:rPr>
          <w:rFonts w:cs="Arial"/>
        </w:rPr>
        <w:t>Προς το Προεδρείο της Βουλής</w:t>
      </w:r>
    </w:p>
    <w:p>
      <w:pPr>
        <w:pStyle w:val="Normal"/>
        <w:spacing w:lineRule="auto" w:line="480"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ΑΝΑΦΟΡΑ</w:t>
      </w:r>
    </w:p>
    <w:p>
      <w:pPr>
        <w:pStyle w:val="Normal"/>
        <w:jc w:val="center"/>
        <w:rPr>
          <w:rFonts w:cs="Arial"/>
          <w:b/>
        </w:rPr>
      </w:pPr>
      <w:r>
        <w:rPr>
          <w:rFonts w:cs="Arial"/>
          <w:b/>
        </w:rPr>
        <w:t>Για τους κ. Υπουργούς Εθνικής Οικονομίας &amp; Οικονομικών και Ναυτιλίας &amp; Νησιωτικής Πολιτικής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/>
        </w:rPr>
      </w:r>
    </w:p>
    <w:p>
      <w:pPr>
        <w:pStyle w:val="Normal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Θέμα: </w:t>
      </w:r>
      <w:r>
        <w:rPr>
          <w:rFonts w:cs="Arial"/>
          <w:b w:val="false"/>
          <w:bCs w:val="false"/>
        </w:rPr>
        <w:t xml:space="preserve"> Για τη διαδικασία αποσάθρωσης και οργανωμένης απαξίωσης της λειτουργίας της Διώρυγας της Κορίνθου</w:t>
      </w:r>
    </w:p>
    <w:p>
      <w:pPr>
        <w:pStyle w:val="Normal"/>
        <w:jc w:val="both"/>
        <w:rPr>
          <w:rFonts w:ascii="Arial" w:hAnsi="Arial" w:cs="Arial"/>
          <w:b/>
        </w:rPr>
      </w:pPr>
      <w:r>
        <w:rPr>
          <w:rFonts w:cs="Arial"/>
          <w:b/>
        </w:rPr>
      </w:r>
    </w:p>
    <w:p>
      <w:pPr>
        <w:pStyle w:val="Normal"/>
        <w:tabs>
          <w:tab w:val="clear" w:pos="709"/>
          <w:tab w:val="left" w:pos="360" w:leader="none"/>
        </w:tabs>
        <w:jc w:val="both"/>
        <w:rPr/>
      </w:pPr>
      <w:r>
        <w:rPr>
          <w:rFonts w:cs="Arial"/>
        </w:rPr>
        <w:t>Καταθέτουμε</w:t>
      </w:r>
      <w:r>
        <w:rPr>
          <w:rFonts w:cs="Arial"/>
          <w:b/>
        </w:rPr>
        <w:t xml:space="preserve"> ΑΝΑΦΟΡΑ</w:t>
      </w:r>
      <w:r>
        <w:rPr>
          <w:rFonts w:cs="Arial"/>
        </w:rPr>
        <w:t xml:space="preserve"> την καταγγελία του Σωματείου Εργατοτεχνιτών – Ναυτεργατών και Υπαλλήλων Διώρυγος Κορίνθου </w:t>
      </w:r>
      <w:r>
        <w:rPr>
          <w:rFonts w:cs="Arial"/>
          <w:b w:val="false"/>
          <w:bCs w:val="false"/>
        </w:rPr>
        <w:t>για τη διαδικασία αποσάθρωσης και οργανωμένης απαξίωσης της λειτουργίας της Διώρυγας της Κορίνθου.</w:t>
      </w:r>
    </w:p>
    <w:p>
      <w:pPr>
        <w:pStyle w:val="Normal"/>
        <w:tabs>
          <w:tab w:val="clear" w:pos="709"/>
          <w:tab w:val="left" w:pos="360" w:leader="none"/>
        </w:tabs>
        <w:jc w:val="both"/>
        <w:rPr>
          <w:rFonts w:ascii="Arial" w:hAnsi="Arial" w:cs="Arial"/>
        </w:rPr>
      </w:pPr>
      <w:r>
        <w:rPr>
          <w:rFonts w:cs="Arial"/>
        </w:rPr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/>
        </w:rPr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/>
        </w:rPr>
      </w:r>
    </w:p>
    <w:p>
      <w:pPr>
        <w:pStyle w:val="Normal"/>
        <w:spacing w:lineRule="auto" w:line="600"/>
        <w:ind w:hanging="0" w:start="4500" w:end="0"/>
        <w:jc w:val="center"/>
        <w:rPr>
          <w:rFonts w:cs="Arial"/>
          <w:b/>
        </w:rPr>
      </w:pPr>
      <w:r>
        <w:rPr>
          <w:rFonts w:cs="Arial"/>
          <w:b/>
        </w:rPr>
        <w:t>Αθήνα 18/5/2026</w:t>
      </w:r>
    </w:p>
    <w:p>
      <w:pPr>
        <w:pStyle w:val="Normal"/>
        <w:tabs>
          <w:tab w:val="clear" w:pos="709"/>
          <w:tab w:val="left" w:pos="340" w:leader="none"/>
        </w:tabs>
        <w:spacing w:lineRule="auto" w:line="600" w:before="0" w:after="0"/>
        <w:ind w:hanging="0" w:start="4500" w:end="0"/>
        <w:jc w:val="center"/>
        <w:rPr>
          <w:rFonts w:cs="Arial"/>
          <w:b w:val="false"/>
          <w:bCs w:val="false"/>
        </w:rPr>
      </w:pPr>
      <w:r>
        <w:rPr>
          <w:rFonts w:cs="Arial"/>
          <w:b w:val="false"/>
          <w:bCs w:val="false"/>
        </w:rPr>
        <w:t>Οι καταθέτοντες βουλευτές</w:t>
      </w:r>
    </w:p>
    <w:p>
      <w:pPr>
        <w:pStyle w:val="Normal"/>
        <w:tabs>
          <w:tab w:val="clear" w:pos="709"/>
          <w:tab w:val="left" w:pos="340" w:leader="none"/>
        </w:tabs>
        <w:spacing w:lineRule="auto" w:line="600" w:before="0" w:after="0"/>
        <w:ind w:hanging="0" w:start="4500" w:end="0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Καραθανασόπουλος Νίκος</w:t>
      </w:r>
    </w:p>
    <w:p>
      <w:pPr>
        <w:pStyle w:val="Normal"/>
        <w:tabs>
          <w:tab w:val="clear" w:pos="709"/>
          <w:tab w:val="left" w:pos="340" w:leader="none"/>
        </w:tabs>
        <w:spacing w:lineRule="auto" w:line="600" w:before="0" w:after="0"/>
        <w:ind w:hanging="0" w:start="4500" w:end="0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Αμπατιέλος Νίκος</w:t>
      </w:r>
    </w:p>
    <w:p>
      <w:pPr>
        <w:pStyle w:val="Normal"/>
        <w:tabs>
          <w:tab w:val="clear" w:pos="709"/>
          <w:tab w:val="left" w:pos="340" w:leader="none"/>
        </w:tabs>
        <w:spacing w:lineRule="auto" w:line="600" w:before="0" w:after="0"/>
        <w:ind w:hanging="0" w:start="4500" w:end="0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Έξαρχος Νίκος</w:t>
      </w:r>
    </w:p>
    <w:p>
      <w:pPr>
        <w:pStyle w:val="Normal"/>
        <w:tabs>
          <w:tab w:val="clear" w:pos="709"/>
          <w:tab w:val="left" w:pos="340" w:leader="none"/>
        </w:tabs>
        <w:spacing w:lineRule="auto" w:line="600" w:before="0" w:after="0"/>
        <w:ind w:hanging="0" w:start="4500" w:end="0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Κατσώτης Χρήστος</w:t>
      </w:r>
    </w:p>
    <w:p>
      <w:pPr>
        <w:pStyle w:val="Normal"/>
        <w:tabs>
          <w:tab w:val="clear" w:pos="709"/>
          <w:tab w:val="left" w:pos="340" w:leader="none"/>
        </w:tabs>
        <w:spacing w:lineRule="auto" w:line="600" w:before="0" w:after="0"/>
        <w:ind w:hanging="0" w:start="4500" w:end="0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Μαρίνος Γιώργος</w:t>
      </w:r>
    </w:p>
    <w:p>
      <w:pPr>
        <w:pStyle w:val="Normal"/>
        <w:tabs>
          <w:tab w:val="clear" w:pos="709"/>
          <w:tab w:val="left" w:pos="340" w:leader="none"/>
        </w:tabs>
        <w:spacing w:lineRule="auto" w:line="600" w:before="0" w:after="0"/>
        <w:ind w:hanging="0" w:start="4500" w:end="0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Στολτίδης Λεωνίδας</w:t>
      </w:r>
    </w:p>
    <w:p>
      <w:pPr>
        <w:pStyle w:val="Normal"/>
        <w:widowControl/>
        <w:tabs>
          <w:tab w:val="clear" w:pos="709"/>
          <w:tab w:val="left" w:pos="340" w:leader="none"/>
        </w:tabs>
        <w:suppressAutoHyphens w:val="true"/>
        <w:overflowPunct w:val="true"/>
        <w:bidi w:val="0"/>
        <w:spacing w:lineRule="auto" w:line="600" w:before="0" w:after="0"/>
        <w:ind w:hanging="0" w:start="0" w:end="0"/>
        <w:jc w:val="start"/>
        <w:rPr/>
      </w:pPr>
      <w:r>
        <w:rPr/>
      </w:r>
    </w:p>
    <w:p>
      <w:pPr>
        <w:pStyle w:val="Normal"/>
        <w:widowControl/>
        <w:tabs>
          <w:tab w:val="clear" w:pos="709"/>
          <w:tab w:val="left" w:pos="340" w:leader="none"/>
        </w:tabs>
        <w:suppressAutoHyphens w:val="true"/>
        <w:overflowPunct w:val="true"/>
        <w:bidi w:val="0"/>
        <w:spacing w:lineRule="auto" w:line="600" w:before="0" w:after="0"/>
        <w:ind w:hanging="0" w:start="0" w:end="0"/>
        <w:jc w:val="start"/>
        <w:rPr/>
      </w:pPr>
      <w:r>
        <w:rPr/>
      </w:r>
    </w:p>
    <w:p>
      <w:pPr>
        <w:pStyle w:val="Normal"/>
        <w:widowControl/>
        <w:tabs>
          <w:tab w:val="clear" w:pos="709"/>
          <w:tab w:val="left" w:pos="340" w:leader="none"/>
        </w:tabs>
        <w:suppressAutoHyphens w:val="true"/>
        <w:overflowPunct w:val="true"/>
        <w:bidi w:val="0"/>
        <w:spacing w:lineRule="auto" w:line="600" w:before="0" w:after="0"/>
        <w:ind w:hanging="0" w:start="0" w:end="0"/>
        <w:jc w:val="start"/>
        <w:rPr/>
      </w:pPr>
      <w:r>
        <w:rPr/>
      </w:r>
    </w:p>
    <w:p>
      <w:pPr>
        <w:pStyle w:val="Normal"/>
        <w:widowControl/>
        <w:tabs>
          <w:tab w:val="clear" w:pos="709"/>
          <w:tab w:val="left" w:pos="340" w:leader="none"/>
        </w:tabs>
        <w:suppressAutoHyphens w:val="true"/>
        <w:overflowPunct w:val="true"/>
        <w:bidi w:val="0"/>
        <w:spacing w:lineRule="auto" w:line="600" w:before="0" w:after="0"/>
        <w:ind w:hanging="0" w:start="0" w:end="0"/>
        <w:jc w:val="start"/>
        <w:rPr/>
      </w:pPr>
      <w:r>
        <w:rPr/>
      </w:r>
    </w:p>
    <w:p>
      <w:pPr>
        <w:pStyle w:val="Normal"/>
        <w:widowControl/>
        <w:tabs>
          <w:tab w:val="clear" w:pos="709"/>
          <w:tab w:val="left" w:pos="340" w:leader="none"/>
        </w:tabs>
        <w:suppressAutoHyphens w:val="true"/>
        <w:overflowPunct w:val="true"/>
        <w:bidi w:val="0"/>
        <w:spacing w:lineRule="auto" w:line="600" w:before="0" w:after="0"/>
        <w:ind w:hanging="0" w:start="0" w:end="0"/>
        <w:jc w:val="start"/>
        <w:rPr/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531860"/>
            <wp:effectExtent l="0" t="0" r="0" b="0"/>
            <wp:wrapSquare wrapText="largest"/>
            <wp:docPr id="2" name="Εικόνα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</w:p>
    <w:p>
      <w:pPr>
        <w:pStyle w:val="Normal"/>
        <w:widowControl/>
        <w:tabs>
          <w:tab w:val="clear" w:pos="709"/>
          <w:tab w:val="left" w:pos="340" w:leader="none"/>
        </w:tabs>
        <w:suppressAutoHyphens w:val="true"/>
        <w:overflowPunct w:val="true"/>
        <w:bidi w:val="0"/>
        <w:spacing w:lineRule="auto" w:line="600" w:before="0" w:after="0"/>
        <w:ind w:hanging="0" w:start="0" w:end="0"/>
        <w:jc w:val="start"/>
        <w:rPr/>
      </w:pPr>
      <w: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-466725</wp:posOffset>
            </wp:positionV>
            <wp:extent cx="6120130" cy="9314180"/>
            <wp:effectExtent l="0" t="0" r="0" b="0"/>
            <wp:wrapSquare wrapText="largest"/>
            <wp:docPr id="3" name="Εικόνα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1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</w:p>
    <w:p>
      <w:pPr>
        <w:pStyle w:val="Normal"/>
        <w:widowControl/>
        <w:tabs>
          <w:tab w:val="clear" w:pos="709"/>
          <w:tab w:val="left" w:pos="340" w:leader="none"/>
        </w:tabs>
        <w:suppressAutoHyphens w:val="true"/>
        <w:overflowPunct w:val="true"/>
        <w:bidi w:val="0"/>
        <w:spacing w:lineRule="auto" w:line="600" w:before="0" w:after="0"/>
        <w:ind w:hanging="0" w:start="0" w:end="0"/>
        <w:jc w:val="star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6859905"/>
            <wp:effectExtent l="0" t="0" r="0" b="0"/>
            <wp:wrapSquare wrapText="largest"/>
            <wp:docPr id="4" name="Εικόνα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85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Arial">
    <w:charset w:val="01"/>
    <w:family w:val="swiss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start"/>
      <w:pPr>
        <w:tabs>
          <w:tab w:val="num" w:pos="0"/>
        </w:tabs>
        <w:ind w:start="0" w:hanging="0"/>
      </w:pPr>
      <w:rPr/>
    </w:lvl>
    <w:lvl w:ilvl="1">
      <w:start w:val="1"/>
      <w:numFmt w:val="none"/>
      <w:suff w:val="nothing"/>
      <w:lvlText w:val="%2"/>
      <w:lvlJc w:val="start"/>
      <w:pPr>
        <w:tabs>
          <w:tab w:val="num" w:pos="0"/>
        </w:tabs>
        <w:ind w:start="0" w:hanging="0"/>
      </w:pPr>
      <w:rPr/>
    </w:lvl>
    <w:lvl w:ilvl="2">
      <w:start w:val="1"/>
      <w:numFmt w:val="none"/>
      <w:suff w:val="nothing"/>
      <w:lvlText w:val="%3"/>
      <w:lvlJc w:val="start"/>
      <w:pPr>
        <w:tabs>
          <w:tab w:val="num" w:pos="0"/>
        </w:tabs>
        <w:ind w:start="720" w:hanging="720"/>
      </w:pPr>
      <w:rPr/>
    </w:lvl>
    <w:lvl w:ilvl="3">
      <w:start w:val="1"/>
      <w:numFmt w:val="none"/>
      <w:suff w:val="nothing"/>
      <w:lvlText w:val="%4"/>
      <w:lvlJc w:val="start"/>
      <w:pPr>
        <w:tabs>
          <w:tab w:val="num" w:pos="0"/>
        </w:tabs>
        <w:ind w:start="0" w:hanging="0"/>
      </w:pPr>
      <w:rPr/>
    </w:lvl>
    <w:lvl w:ilvl="4">
      <w:start w:val="1"/>
      <w:numFmt w:val="none"/>
      <w:suff w:val="nothing"/>
      <w:lvlText w:val="%5"/>
      <w:lvlJc w:val="start"/>
      <w:pPr>
        <w:tabs>
          <w:tab w:val="num" w:pos="0"/>
        </w:tabs>
        <w:ind w:start="0" w:hanging="0"/>
      </w:pPr>
      <w:rPr/>
    </w:lvl>
    <w:lvl w:ilvl="5">
      <w:start w:val="1"/>
      <w:numFmt w:val="none"/>
      <w:suff w:val="nothing"/>
      <w:lvlText w:val="%6"/>
      <w:lvlJc w:val="start"/>
      <w:pPr>
        <w:tabs>
          <w:tab w:val="num" w:pos="0"/>
        </w:tabs>
        <w:ind w:start="0" w:hanging="0"/>
      </w:pPr>
      <w:rPr/>
    </w:lvl>
    <w:lvl w:ilvl="6">
      <w:start w:val="1"/>
      <w:numFmt w:val="none"/>
      <w:suff w:val="nothing"/>
      <w:lvlText w:val="%7"/>
      <w:lvlJc w:val="start"/>
      <w:pPr>
        <w:tabs>
          <w:tab w:val="num" w:pos="0"/>
        </w:tabs>
        <w:ind w:start="0" w:hanging="0"/>
      </w:pPr>
      <w:rPr/>
    </w:lvl>
    <w:lvl w:ilvl="7">
      <w:start w:val="1"/>
      <w:numFmt w:val="none"/>
      <w:suff w:val="nothing"/>
      <w:lvlText w:val="%8"/>
      <w:lvlJc w:val="start"/>
      <w:pPr>
        <w:tabs>
          <w:tab w:val="num" w:pos="0"/>
        </w:tabs>
        <w:ind w:start="0" w:hanging="0"/>
      </w:pPr>
      <w:rPr/>
    </w:lvl>
    <w:lvl w:ilvl="8">
      <w:start w:val="1"/>
      <w:numFmt w:val="none"/>
      <w:suff w:val="nothing"/>
      <w:lvlText w:val="%9"/>
      <w:lvlJc w:val="start"/>
      <w:pPr>
        <w:tabs>
          <w:tab w:val="num" w:pos="0"/>
        </w:tabs>
        <w:ind w:start="0" w:hanging="0"/>
      </w:pPr>
      <w:rPr/>
    </w:lvl>
  </w:abstractNum>
  <w:abstractNum w:abstractNumId="2">
    <w:lvl w:ilvl="0">
      <w:start w:val="1"/>
      <w:numFmt w:val="none"/>
      <w:suff w:val="nothing"/>
      <w:lvlText w:val="%1"/>
      <w:lvlJc w:val="start"/>
      <w:pPr>
        <w:tabs>
          <w:tab w:val="num" w:pos="0"/>
        </w:tabs>
        <w:ind w:start="432" w:hanging="432"/>
      </w:pPr>
      <w:rPr/>
    </w:lvl>
    <w:lvl w:ilvl="1">
      <w:start w:val="1"/>
      <w:numFmt w:val="none"/>
      <w:suff w:val="nothing"/>
      <w:lvlText w:val="%2"/>
      <w:lvlJc w:val="start"/>
      <w:pPr>
        <w:tabs>
          <w:tab w:val="num" w:pos="0"/>
        </w:tabs>
        <w:ind w:start="576" w:hanging="576"/>
      </w:pPr>
      <w:rPr/>
    </w:lvl>
    <w:lvl w:ilvl="2">
      <w:start w:val="1"/>
      <w:numFmt w:val="none"/>
      <w:suff w:val="nothing"/>
      <w:lvlText w:val="%3"/>
      <w:lvlJc w:val="start"/>
      <w:pPr>
        <w:tabs>
          <w:tab w:val="num" w:pos="0"/>
        </w:tabs>
        <w:ind w:start="720" w:hanging="720"/>
      </w:pPr>
      <w:rPr/>
    </w:lvl>
    <w:lvl w:ilvl="3">
      <w:start w:val="1"/>
      <w:numFmt w:val="none"/>
      <w:suff w:val="nothing"/>
      <w:lvlText w:val="%4"/>
      <w:lvlJc w:val="start"/>
      <w:pPr>
        <w:tabs>
          <w:tab w:val="num" w:pos="0"/>
        </w:tabs>
        <w:ind w:start="864" w:hanging="864"/>
      </w:pPr>
      <w:rPr/>
    </w:lvl>
    <w:lvl w:ilvl="4">
      <w:start w:val="1"/>
      <w:numFmt w:val="none"/>
      <w:suff w:val="nothing"/>
      <w:lvlText w:val="%5"/>
      <w:lvlJc w:val="start"/>
      <w:pPr>
        <w:tabs>
          <w:tab w:val="num" w:pos="0"/>
        </w:tabs>
        <w:ind w:start="1008" w:hanging="1008"/>
      </w:pPr>
      <w:rPr/>
    </w:lvl>
    <w:lvl w:ilvl="5">
      <w:start w:val="1"/>
      <w:numFmt w:val="none"/>
      <w:suff w:val="nothing"/>
      <w:lvlText w:val="%6"/>
      <w:lvlJc w:val="start"/>
      <w:pPr>
        <w:tabs>
          <w:tab w:val="num" w:pos="0"/>
        </w:tabs>
        <w:ind w:start="1152" w:hanging="1152"/>
      </w:pPr>
      <w:rPr/>
    </w:lvl>
    <w:lvl w:ilvl="6">
      <w:start w:val="1"/>
      <w:numFmt w:val="none"/>
      <w:suff w:val="nothing"/>
      <w:lvlText w:val="%7"/>
      <w:lvlJc w:val="start"/>
      <w:pPr>
        <w:tabs>
          <w:tab w:val="num" w:pos="0"/>
        </w:tabs>
        <w:ind w:start="1296" w:hanging="1296"/>
      </w:pPr>
      <w:rPr/>
    </w:lvl>
    <w:lvl w:ilvl="7">
      <w:start w:val="1"/>
      <w:numFmt w:val="none"/>
      <w:suff w:val="nothing"/>
      <w:lvlText w:val="%8"/>
      <w:lvlJc w:val="start"/>
      <w:pPr>
        <w:tabs>
          <w:tab w:val="num" w:pos="0"/>
        </w:tabs>
        <w:ind w:start="1440" w:hanging="1440"/>
      </w:pPr>
      <w:rPr/>
    </w:lvl>
    <w:lvl w:ilvl="8">
      <w:start w:val="1"/>
      <w:numFmt w:val="none"/>
      <w:suff w:val="nothing"/>
      <w:lvlText w:val="%9"/>
      <w:lvlJc w:val="start"/>
      <w:pPr>
        <w:tabs>
          <w:tab w:val="num" w:pos="0"/>
        </w:tabs>
        <w:ind w:start="1584" w:hanging="1584"/>
      </w:pPr>
      <w:rPr/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WenQuanYi Micro Hei" w:cs="Lohit Devanagari"/>
        <w:szCs w:val="24"/>
        <w:lang w:val="el-G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start"/>
    </w:pPr>
    <w:rPr>
      <w:rFonts w:ascii="Arial" w:hAnsi="Arial" w:eastAsia="WenQuanYi Micro Hei" w:cs="Arial"/>
      <w:color w:val="auto"/>
      <w:kern w:val="2"/>
      <w:sz w:val="24"/>
      <w:szCs w:val="24"/>
      <w:lang w:val="el-GR" w:eastAsia="zh-CN" w:bidi="hi-IN"/>
    </w:rPr>
  </w:style>
  <w:style w:type="paragraph" w:styleId="Heading3">
    <w:name w:val="Heading 3"/>
    <w:basedOn w:val="Normal"/>
    <w:next w:val="BodyText"/>
    <w:qFormat/>
    <w:pPr>
      <w:keepNext w:val="true"/>
      <w:numPr>
        <w:ilvl w:val="2"/>
        <w:numId w:val="1"/>
      </w:numPr>
      <w:tabs>
        <w:tab w:val="clear" w:pos="709"/>
        <w:tab w:val="left" w:pos="397" w:leader="none"/>
      </w:tabs>
      <w:overflowPunct w:val="true"/>
      <w:ind w:hanging="0" w:start="0" w:end="0"/>
      <w:jc w:val="center"/>
      <w:textAlignment w:val="baseline"/>
      <w:outlineLvl w:val="2"/>
    </w:pPr>
    <w:rPr>
      <w:rFonts w:ascii="Arial" w:hAnsi="Arial" w:cs="Arial"/>
      <w:b/>
      <w:spacing w:val="20"/>
      <w:sz w:val="44"/>
      <w:szCs w:val="20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Style13">
    <w:name w:val="Χαρακτήρες υποσημείωσης"/>
    <w:qFormat/>
    <w:rPr>
      <w:vertAlign w:val="superscript"/>
    </w:rPr>
  </w:style>
  <w:style w:type="character" w:styleId="Style14">
    <w:name w:val="Χαρακτήρες σημείωσης τέλους"/>
    <w:qFormat/>
    <w:rPr>
      <w:vertAlign w:val="superscript"/>
    </w:rPr>
  </w:style>
  <w:style w:type="character" w:styleId="Hyperlink">
    <w:name w:val="Hyperlink"/>
    <w:rPr>
      <w:color w:val="000080"/>
      <w:u w:val="single"/>
      <w:lang w:val="zxx" w:eastAsia="zxx" w:bidi="zxx"/>
    </w:rPr>
  </w:style>
  <w:style w:type="character" w:styleId="FollowedHyperlink">
    <w:name w:val="FollowedHyperlink"/>
    <w:rPr>
      <w:color w:val="800000"/>
      <w:u w:val="single"/>
      <w:lang w:val="zxx" w:eastAsia="zxx" w:bidi="zxx"/>
    </w:rPr>
  </w:style>
  <w:style w:type="character" w:styleId="FootnoteReference">
    <w:name w:val="Footnote Reference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paragraph" w:styleId="Style15">
    <w:name w:val="Επικεφαλίδα"/>
    <w:basedOn w:val="Normal"/>
    <w:next w:val="BodyText"/>
    <w:qFormat/>
    <w:pPr>
      <w:keepNext w:val="true"/>
      <w:spacing w:before="240" w:after="120"/>
    </w:pPr>
    <w:rPr>
      <w:rFonts w:ascii="Arial" w:hAnsi="Arial" w:eastAsia="WenQuanYi Micro Hei" w:cs="Lohit Devanagari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6">
    <w:name w:val="Ευρετήριο"/>
    <w:basedOn w:val="Normal"/>
    <w:qFormat/>
    <w:pPr>
      <w:suppressLineNumbers/>
    </w:pPr>
    <w:rPr>
      <w:rFonts w:cs="Lohit Devanagari"/>
    </w:rPr>
  </w:style>
  <w:style w:type="paragraph" w:styleId="Style17">
    <w:name w:val="Περιεχόμενα πίνακα"/>
    <w:basedOn w:val="Normal"/>
    <w:qFormat/>
    <w:pPr>
      <w:suppressLineNumbers/>
    </w:pPr>
    <w:rPr/>
  </w:style>
  <w:style w:type="paragraph" w:styleId="Style18">
    <w:name w:val="Επικεφαλίδα πίνακα"/>
    <w:basedOn w:val="Style17"/>
    <w:qFormat/>
    <w:pPr>
      <w:suppressLineNumbers/>
      <w:jc w:val="center"/>
    </w:pPr>
    <w:rPr>
      <w:b/>
      <w:bCs/>
    </w:rPr>
  </w:style>
  <w:style w:type="paragraph" w:styleId="Style19">
    <w:name w:val="Περιεχόμενα λίστας"/>
    <w:basedOn w:val="Normal"/>
    <w:qFormat/>
    <w:pPr>
      <w:ind w:hanging="0" w:start="567" w:end="0"/>
    </w:pPr>
    <w:rPr/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ΠΡΟΤΥΠΟ ΑΝΑΦΟΡΑ</Template>
  <TotalTime>2</TotalTime>
  <Application>LibreOffice/24.2.7.2$Linux_X86_64 LibreOffice_project/420$Build-2</Application>
  <AppVersion>15.0000</AppVersion>
  <Pages>4</Pages>
  <Words>98</Words>
  <Characters>708</Characters>
  <CharactersWithSpaces>793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2026-05-18T11:26:33Z</dcterms:created>
  <dc:creator/>
  <dc:description/>
  <dc:language>el-GR</dc:language>
  <cp:lastModifiedBy/>
  <dcterms:modified xsi:type="dcterms:W3CDTF">2026-05-18T12:01:33Z</dcterms:modified>
  <cp:revision>4</cp:revision>
  <dc:subject/>
  <dc:title>ΠΡΟΤΥΠΟ ΑΝΑΦΟΡΑ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